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000000"/>
          <w:spacing w:val="15"/>
          <w:kern w:val="0"/>
          <w:sz w:val="32"/>
          <w:szCs w:val="32"/>
        </w:rPr>
      </w:pPr>
      <w:r>
        <w:rPr>
          <w:rFonts w:hint="eastAsia" w:ascii="宋体" w:hAnsi="宋体"/>
          <w:b/>
          <w:bCs/>
          <w:color w:val="000000"/>
          <w:spacing w:val="15"/>
          <w:kern w:val="0"/>
          <w:sz w:val="32"/>
          <w:szCs w:val="32"/>
          <w:lang w:eastAsia="zh-CN"/>
        </w:rPr>
        <w:t>安徽扬子职业技术学院</w:t>
      </w:r>
      <w:r>
        <w:rPr>
          <w:rFonts w:hint="eastAsia" w:ascii="宋体" w:hAnsi="宋体"/>
          <w:b/>
          <w:bCs/>
          <w:color w:val="000000"/>
          <w:spacing w:val="15"/>
          <w:kern w:val="0"/>
          <w:sz w:val="32"/>
          <w:szCs w:val="32"/>
        </w:rPr>
        <w:t>关于</w:t>
      </w:r>
      <w:r>
        <w:rPr>
          <w:rFonts w:hint="eastAsia" w:ascii="宋体" w:hAnsi="宋体"/>
          <w:b/>
          <w:bCs/>
          <w:color w:val="000000"/>
          <w:spacing w:val="15"/>
          <w:kern w:val="0"/>
          <w:sz w:val="32"/>
          <w:szCs w:val="32"/>
          <w:lang w:eastAsia="zh-CN"/>
        </w:rPr>
        <w:t>高职</w:t>
      </w:r>
      <w:r>
        <w:rPr>
          <w:rFonts w:hint="eastAsia" w:ascii="宋体" w:hAnsi="宋体"/>
          <w:b/>
          <w:bCs/>
          <w:color w:val="000000"/>
          <w:spacing w:val="15"/>
          <w:kern w:val="0"/>
          <w:sz w:val="32"/>
          <w:szCs w:val="32"/>
        </w:rPr>
        <w:t>扩招学生</w:t>
      </w:r>
    </w:p>
    <w:p>
      <w:pPr>
        <w:jc w:val="center"/>
        <w:rPr>
          <w:rFonts w:hint="eastAsia" w:ascii="宋体" w:hAnsi="宋体"/>
          <w:b/>
          <w:bCs/>
          <w:color w:val="000000"/>
          <w:spacing w:val="15"/>
          <w:kern w:val="0"/>
          <w:sz w:val="32"/>
          <w:szCs w:val="32"/>
          <w:lang w:eastAsia="zh-CN"/>
        </w:rPr>
      </w:pPr>
      <w:r>
        <w:rPr>
          <w:rFonts w:hint="eastAsia" w:ascii="宋体" w:hAnsi="宋体"/>
          <w:b/>
          <w:bCs/>
          <w:color w:val="000000"/>
          <w:spacing w:val="15"/>
          <w:kern w:val="0"/>
          <w:sz w:val="32"/>
          <w:szCs w:val="32"/>
        </w:rPr>
        <w:t>学习成果认定和转换</w:t>
      </w:r>
      <w:r>
        <w:rPr>
          <w:rFonts w:hint="eastAsia" w:ascii="宋体" w:hAnsi="宋体"/>
          <w:b/>
          <w:bCs/>
          <w:color w:val="000000"/>
          <w:spacing w:val="15"/>
          <w:kern w:val="0"/>
          <w:sz w:val="32"/>
          <w:szCs w:val="32"/>
          <w:lang w:eastAsia="zh-CN"/>
        </w:rPr>
        <w:t>的通知</w:t>
      </w:r>
    </w:p>
    <w:p>
      <w:pPr>
        <w:pStyle w:val="2"/>
        <w:keepNext w:val="0"/>
        <w:keepLines w:val="0"/>
        <w:widowControl/>
        <w:suppressLineNumbers w:val="0"/>
        <w:spacing w:before="0" w:beforeAutospacing="0" w:after="0" w:afterAutospacing="0" w:line="33" w:lineRule="atLeast"/>
        <w:ind w:right="0"/>
        <w:jc w:val="left"/>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各</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二级学院</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w:t>
      </w:r>
    </w:p>
    <w:p>
      <w:pPr>
        <w:pStyle w:val="2"/>
        <w:keepNext w:val="0"/>
        <w:keepLines w:val="0"/>
        <w:widowControl/>
        <w:suppressLineNumbers w:val="0"/>
        <w:spacing w:before="0" w:beforeAutospacing="0" w:after="0" w:afterAutospacing="0" w:line="33" w:lineRule="atLeast"/>
        <w:ind w:right="0" w:firstLine="560" w:firstLineChars="200"/>
        <w:jc w:val="left"/>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为贯彻落实教育部办公厅《关于做好扩招后高职教育教学管理工作的指导意见》和安徽省教育厅《关于做好高职扩招学生学习成果认定与转换工作的通知》等文件精神，</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进一步深化人才培养模式改革，建立多种学习成果认定机制，充分利用校内外各种优质教学资源，加强校际交流，适应扩招学生多样化发展需要，充分激发、调动扩招学生学习积极性和主动性，规范各类学习成果认定和转换工作，</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切实提高扩招学生培养质量</w:t>
      </w:r>
      <w:r>
        <w:rPr>
          <w:rFonts w:hint="eastAsia" w:ascii="宋体" w:hAnsi="宋体" w:eastAsia="宋体" w:cs="宋体"/>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根据《</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安徽扬子</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职业技术学院面向社会扩招学生学习成果认定和转换工作实施办法（试行）</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》文件要求，</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现就</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本学期</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相关工作布置如下</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p>
    <w:p>
      <w:pPr>
        <w:pStyle w:val="2"/>
        <w:keepNext w:val="0"/>
        <w:keepLines w:val="0"/>
        <w:widowControl/>
        <w:suppressLineNumbers w:val="0"/>
        <w:spacing w:before="0" w:beforeAutospacing="0" w:after="0" w:afterAutospacing="0" w:line="33" w:lineRule="atLeast"/>
        <w:ind w:right="0"/>
        <w:jc w:val="left"/>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一、</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学习成果认定与转换</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对象</w:t>
      </w:r>
    </w:p>
    <w:p>
      <w:pPr>
        <w:pStyle w:val="2"/>
        <w:keepNext w:val="0"/>
        <w:keepLines w:val="0"/>
        <w:widowControl/>
        <w:suppressLineNumbers w:val="0"/>
        <w:spacing w:before="0" w:beforeAutospacing="0" w:after="0" w:afterAutospacing="0" w:line="33" w:lineRule="atLeast"/>
        <w:ind w:left="0" w:right="0" w:firstLine="555"/>
        <w:jc w:val="left"/>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全体</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在籍在学高职</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扩招学生</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p>
    <w:p>
      <w:pPr>
        <w:pStyle w:val="2"/>
        <w:keepNext w:val="0"/>
        <w:keepLines w:val="0"/>
        <w:widowControl/>
        <w:suppressLineNumbers w:val="0"/>
        <w:spacing w:before="0" w:beforeAutospacing="0" w:after="0" w:afterAutospacing="0" w:line="33" w:lineRule="atLeast"/>
        <w:ind w:right="0"/>
        <w:jc w:val="left"/>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二、工作流程和时间安排</w:t>
      </w:r>
    </w:p>
    <w:p>
      <w:pPr>
        <w:pStyle w:val="2"/>
        <w:keepNext w:val="0"/>
        <w:keepLines w:val="0"/>
        <w:widowControl/>
        <w:suppressLineNumbers w:val="0"/>
        <w:spacing w:before="0" w:beforeAutospacing="0" w:after="0" w:afterAutospacing="0" w:line="33" w:lineRule="atLeast"/>
        <w:ind w:left="0" w:right="0" w:firstLine="555"/>
        <w:jc w:val="left"/>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1.</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4</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月</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15</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日-</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4</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月</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29</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日：学生</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本人</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填写《</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安徽扬子</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职业技术学院</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学生</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学习成果认定和转换申请表》</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附件1</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并提供佐证材料，交</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给班级辅导员</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w:t>
      </w:r>
    </w:p>
    <w:p>
      <w:pPr>
        <w:pStyle w:val="2"/>
        <w:keepNext w:val="0"/>
        <w:keepLines w:val="0"/>
        <w:widowControl/>
        <w:suppressLineNumbers w:val="0"/>
        <w:spacing w:before="0" w:beforeAutospacing="0" w:after="0" w:afterAutospacing="0" w:line="33" w:lineRule="atLeast"/>
        <w:ind w:left="0" w:right="0" w:firstLine="555"/>
        <w:jc w:val="left"/>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2.</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5</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月</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5</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日-</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5</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月</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1</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5</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日：</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各</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二级学院按照《</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安徽扬子</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职业技术学院</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高职扩招</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学生学习成果认定和转换工作实施办法》</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对符合条件的学生汇总</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后，纸质档材料交</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到继续教育学院</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，电子档材料发</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给继续教育学院杜海峰老师</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w:t>
      </w:r>
    </w:p>
    <w:p>
      <w:pPr>
        <w:pStyle w:val="2"/>
        <w:keepNext w:val="0"/>
        <w:keepLines w:val="0"/>
        <w:widowControl/>
        <w:suppressLineNumbers w:val="0"/>
        <w:spacing w:before="0" w:beforeAutospacing="0" w:after="0" w:afterAutospacing="0" w:line="33" w:lineRule="atLeast"/>
        <w:ind w:left="0" w:right="0" w:firstLine="555"/>
        <w:jc w:val="left"/>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3.</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5</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月</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16</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日-</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5</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月</w:t>
      </w:r>
      <w:r>
        <w:rPr>
          <w:rFonts w:hint="eastAsia" w:cs="宋体"/>
          <w:b w:val="0"/>
          <w:bCs w:val="0"/>
          <w:i w:val="0"/>
          <w:caps w:val="0"/>
          <w:color w:val="000000" w:themeColor="text1"/>
          <w:spacing w:val="0"/>
          <w:sz w:val="28"/>
          <w:szCs w:val="28"/>
          <w:shd w:val="clear" w:color="auto" w:fill="FFFFFF"/>
          <w:lang w:val="en-US" w:eastAsia="zh-CN"/>
          <w14:textFill>
            <w14:solidFill>
              <w14:schemeClr w14:val="tx1"/>
            </w14:solidFill>
          </w14:textFill>
        </w:rPr>
        <w:t>20</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日：学校工作领导小组根据</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各</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二级学院初审意见，对所有的申请进行复核认定</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审核结果公示</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一周，</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公示结束后，</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继续教育学院负责记录学生成绩和学分转换</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并</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将结果反馈到各二级学院。</w:t>
      </w:r>
    </w:p>
    <w:p>
      <w:pPr>
        <w:pStyle w:val="2"/>
        <w:keepNext w:val="0"/>
        <w:keepLines w:val="0"/>
        <w:widowControl/>
        <w:numPr>
          <w:ilvl w:val="0"/>
          <w:numId w:val="0"/>
        </w:numPr>
        <w:suppressLineNumbers w:val="0"/>
        <w:spacing w:before="0" w:beforeAutospacing="0" w:after="0" w:afterAutospacing="0" w:line="33" w:lineRule="atLeast"/>
        <w:ind w:right="0" w:rightChars="0"/>
        <w:jc w:val="left"/>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三、</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工作要求</w:t>
      </w:r>
    </w:p>
    <w:p>
      <w:pPr>
        <w:pStyle w:val="2"/>
        <w:keepNext w:val="0"/>
        <w:keepLines w:val="0"/>
        <w:widowControl/>
        <w:numPr>
          <w:ilvl w:val="0"/>
          <w:numId w:val="0"/>
        </w:numPr>
        <w:suppressLineNumbers w:val="0"/>
        <w:spacing w:before="0" w:beforeAutospacing="0" w:after="0" w:afterAutospacing="0" w:line="33" w:lineRule="atLeast"/>
        <w:ind w:right="0" w:rightChars="0" w:firstLine="560" w:firstLineChars="200"/>
        <w:jc w:val="left"/>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1</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规范程序。</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课程替换与学分认定原则上认定和转换的全部学分不得超过该专业毕业总学分的50%。其中，专业课认定和转换的学分不得超过专业课学分的50%。成果认定与转换的范围及具体要求见《</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安徽扬子</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职业技术学院</w:t>
      </w:r>
      <w:r>
        <w:rPr>
          <w:rFonts w:hint="eastAsia" w:cs="宋体"/>
          <w:b w:val="0"/>
          <w:bCs w:val="0"/>
          <w:i w:val="0"/>
          <w:caps w:val="0"/>
          <w:color w:val="000000" w:themeColor="text1"/>
          <w:spacing w:val="0"/>
          <w:sz w:val="28"/>
          <w:szCs w:val="28"/>
          <w:shd w:val="clear" w:color="auto" w:fill="FFFFFF"/>
          <w:lang w:eastAsia="zh-CN"/>
          <w14:textFill>
            <w14:solidFill>
              <w14:schemeClr w14:val="tx1"/>
            </w14:solidFill>
          </w14:textFill>
        </w:rPr>
        <w:t>高职</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扩招学生学习成果认定和转换工作实施办法（试行）》</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附件2</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w:t>
      </w:r>
    </w:p>
    <w:p>
      <w:pPr>
        <w:pStyle w:val="2"/>
        <w:keepNext w:val="0"/>
        <w:keepLines w:val="0"/>
        <w:widowControl/>
        <w:numPr>
          <w:ilvl w:val="0"/>
          <w:numId w:val="0"/>
        </w:numPr>
        <w:suppressLineNumbers w:val="0"/>
        <w:spacing w:before="0" w:beforeAutospacing="0" w:after="0" w:afterAutospacing="0" w:line="33" w:lineRule="atLeast"/>
        <w:ind w:right="0" w:rightChars="0" w:firstLine="560" w:firstLineChars="200"/>
        <w:jc w:val="left"/>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2</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高度重视。</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各</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二级学院要认真组织相关工作，确保扩招学生学习成果认定与转换工作的顺利开展。</w:t>
      </w:r>
    </w:p>
    <w:p>
      <w:pPr>
        <w:ind w:firstLine="560" w:firstLineChars="200"/>
        <w:jc w:val="both"/>
        <w:rPr>
          <w:rFonts w:hint="eastAsia" w:ascii="宋体" w:hAnsi="宋体" w:eastAsia="宋体" w:cs="宋体"/>
          <w:b/>
          <w:bCs/>
          <w:color w:val="000000"/>
          <w:spacing w:val="15"/>
          <w:kern w:val="0"/>
          <w:sz w:val="28"/>
          <w:szCs w:val="28"/>
          <w:lang w:eastAsia="zh-CN"/>
        </w:rPr>
      </w:pP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3</w:t>
      </w:r>
      <w:r>
        <w:rPr>
          <w:rFonts w:hint="eastAsia" w:ascii="宋体" w:hAnsi="宋体" w:eastAsia="宋体" w:cs="宋体"/>
          <w:b w:val="0"/>
          <w:bCs w:val="0"/>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深入宣传</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。各</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二级学院</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相关负责人要认真学习领会相关文件，同时要做好宣传工作，落实责任到人，要求班级辅导员认真为</w:t>
      </w:r>
      <w:r>
        <w:rPr>
          <w:rFonts w:hint="eastAsia" w:ascii="宋体" w:hAnsi="宋体" w:eastAsia="宋体" w:cs="宋体"/>
          <w:b w:val="0"/>
          <w:bCs w:val="0"/>
          <w:i w:val="0"/>
          <w:caps w:val="0"/>
          <w:color w:val="000000" w:themeColor="text1"/>
          <w:spacing w:val="0"/>
          <w:sz w:val="28"/>
          <w:szCs w:val="28"/>
          <w:shd w:val="clear" w:color="auto" w:fill="FFFFFF"/>
          <w:lang w:val="en-US" w:eastAsia="zh-CN"/>
          <w14:textFill>
            <w14:solidFill>
              <w14:schemeClr w14:val="tx1"/>
            </w14:solidFill>
          </w14:textFill>
        </w:rPr>
        <w:t>面向社会扩招</w:t>
      </w:r>
      <w:r>
        <w:rPr>
          <w:rFonts w:hint="eastAsia" w:ascii="宋体" w:hAnsi="宋体" w:eastAsia="宋体" w:cs="宋体"/>
          <w:b w:val="0"/>
          <w:bCs w:val="0"/>
          <w:i w:val="0"/>
          <w:caps w:val="0"/>
          <w:color w:val="000000" w:themeColor="text1"/>
          <w:spacing w:val="0"/>
          <w:sz w:val="28"/>
          <w:szCs w:val="28"/>
          <w:shd w:val="clear" w:color="auto" w:fill="FFFFFF"/>
          <w14:textFill>
            <w14:solidFill>
              <w14:schemeClr w14:val="tx1"/>
            </w14:solidFill>
          </w14:textFill>
        </w:rPr>
        <w:t>学生做好文件解读工作，确保此项工作顺利完成。</w:t>
      </w:r>
    </w:p>
    <w:p>
      <w:pPr>
        <w:keepNext w:val="0"/>
        <w:keepLines w:val="0"/>
        <w:widowControl/>
        <w:suppressLineNumbers w:val="0"/>
        <w:spacing w:before="0" w:beforeAutospacing="0" w:after="0" w:afterAutospacing="0" w:line="500" w:lineRule="exact"/>
        <w:ind w:right="0" w:firstLine="620" w:firstLineChars="200"/>
        <w:jc w:val="left"/>
        <w:rPr>
          <w:rFonts w:hint="eastAsia" w:ascii="宋体" w:hAnsi="宋体"/>
          <w:b w:val="0"/>
          <w:bCs w:val="0"/>
          <w:color w:val="000000"/>
          <w:spacing w:val="15"/>
          <w:kern w:val="0"/>
          <w:sz w:val="28"/>
          <w:szCs w:val="28"/>
          <w:lang w:eastAsia="zh-CN"/>
        </w:rPr>
      </w:pPr>
      <w:r>
        <w:rPr>
          <w:rFonts w:hint="eastAsia" w:ascii="宋体" w:hAnsi="宋体"/>
          <w:b w:val="0"/>
          <w:bCs w:val="0"/>
          <w:color w:val="000000"/>
          <w:spacing w:val="15"/>
          <w:kern w:val="0"/>
          <w:sz w:val="28"/>
          <w:szCs w:val="28"/>
          <w:lang w:eastAsia="zh-CN"/>
        </w:rPr>
        <w:t>特此通知，如有不清楚的可咨询继续教育学院。</w:t>
      </w:r>
    </w:p>
    <w:p>
      <w:pPr>
        <w:keepNext w:val="0"/>
        <w:keepLines w:val="0"/>
        <w:widowControl/>
        <w:suppressLineNumbers w:val="0"/>
        <w:spacing w:before="0" w:beforeAutospacing="0" w:after="0" w:afterAutospacing="0" w:line="500" w:lineRule="exact"/>
        <w:ind w:right="0"/>
        <w:jc w:val="left"/>
        <w:rPr>
          <w:rFonts w:hint="eastAsia" w:ascii="宋体" w:hAnsi="宋体"/>
          <w:b w:val="0"/>
          <w:bCs w:val="0"/>
          <w:color w:val="000000"/>
          <w:spacing w:val="15"/>
          <w:kern w:val="0"/>
          <w:sz w:val="24"/>
          <w:szCs w:val="24"/>
          <w:lang w:eastAsia="zh-CN"/>
        </w:rPr>
      </w:pPr>
      <w:r>
        <w:rPr>
          <w:rFonts w:hint="eastAsia" w:ascii="宋体" w:hAnsi="宋体"/>
          <w:b w:val="0"/>
          <w:bCs w:val="0"/>
          <w:color w:val="000000"/>
          <w:spacing w:val="15"/>
          <w:kern w:val="0"/>
          <w:sz w:val="24"/>
          <w:szCs w:val="24"/>
          <w:lang w:eastAsia="zh-CN"/>
        </w:rPr>
        <w:t>附件</w:t>
      </w:r>
      <w:r>
        <w:rPr>
          <w:rFonts w:hint="eastAsia" w:ascii="宋体" w:hAnsi="宋体"/>
          <w:b w:val="0"/>
          <w:bCs w:val="0"/>
          <w:color w:val="000000"/>
          <w:spacing w:val="15"/>
          <w:kern w:val="0"/>
          <w:sz w:val="24"/>
          <w:szCs w:val="24"/>
          <w:lang w:val="en-US" w:eastAsia="zh-CN"/>
        </w:rPr>
        <w:t>1</w:t>
      </w:r>
      <w:r>
        <w:rPr>
          <w:rFonts w:hint="eastAsia" w:ascii="宋体" w:hAnsi="宋体"/>
          <w:b w:val="0"/>
          <w:bCs w:val="0"/>
          <w:color w:val="000000"/>
          <w:spacing w:val="15"/>
          <w:kern w:val="0"/>
          <w:sz w:val="24"/>
          <w:szCs w:val="24"/>
          <w:lang w:eastAsia="zh-CN"/>
        </w:rPr>
        <w:t>：《安徽扬子职业技术学院学生学习</w:t>
      </w:r>
      <w:r>
        <w:rPr>
          <w:rFonts w:hint="eastAsia" w:ascii="宋体" w:hAnsi="宋体" w:eastAsia="宋体" w:cs="宋体"/>
          <w:b w:val="0"/>
          <w:bCs w:val="0"/>
          <w:color w:val="000000"/>
          <w:spacing w:val="15"/>
          <w:kern w:val="0"/>
          <w:sz w:val="24"/>
          <w:szCs w:val="24"/>
        </w:rPr>
        <w:t>成果认定和转换</w:t>
      </w:r>
      <w:r>
        <w:rPr>
          <w:rFonts w:hint="eastAsia" w:ascii="宋体" w:hAnsi="宋体" w:eastAsia="宋体" w:cs="宋体"/>
          <w:b w:val="0"/>
          <w:bCs w:val="0"/>
          <w:color w:val="000000"/>
          <w:spacing w:val="15"/>
          <w:kern w:val="0"/>
          <w:sz w:val="24"/>
          <w:szCs w:val="24"/>
          <w:lang w:eastAsia="zh-CN"/>
        </w:rPr>
        <w:t>申请表</w:t>
      </w:r>
      <w:r>
        <w:rPr>
          <w:rFonts w:hint="eastAsia" w:ascii="宋体" w:hAnsi="宋体"/>
          <w:b w:val="0"/>
          <w:bCs w:val="0"/>
          <w:color w:val="000000"/>
          <w:spacing w:val="15"/>
          <w:kern w:val="0"/>
          <w:sz w:val="24"/>
          <w:szCs w:val="24"/>
          <w:lang w:eastAsia="zh-CN"/>
        </w:rPr>
        <w:t>》</w:t>
      </w:r>
    </w:p>
    <w:p>
      <w:pPr>
        <w:keepNext w:val="0"/>
        <w:keepLines w:val="0"/>
        <w:widowControl/>
        <w:suppressLineNumbers w:val="0"/>
        <w:spacing w:before="0" w:beforeAutospacing="0" w:after="0" w:afterAutospacing="0" w:line="500" w:lineRule="exact"/>
        <w:ind w:right="0"/>
        <w:jc w:val="left"/>
        <w:rPr>
          <w:rFonts w:hint="default" w:ascii="宋体" w:hAnsi="宋体"/>
          <w:b w:val="0"/>
          <w:bCs w:val="0"/>
          <w:color w:val="000000"/>
          <w:spacing w:val="15"/>
          <w:kern w:val="0"/>
          <w:sz w:val="24"/>
          <w:szCs w:val="24"/>
          <w:lang w:val="en-US" w:eastAsia="zh-CN"/>
        </w:rPr>
      </w:pPr>
      <w:r>
        <w:rPr>
          <w:rFonts w:hint="eastAsia" w:ascii="宋体" w:hAnsi="宋体"/>
          <w:b w:val="0"/>
          <w:bCs w:val="0"/>
          <w:color w:val="000000"/>
          <w:spacing w:val="15"/>
          <w:kern w:val="0"/>
          <w:sz w:val="24"/>
          <w:szCs w:val="24"/>
          <w:lang w:eastAsia="zh-CN"/>
        </w:rPr>
        <w:t>附件</w:t>
      </w:r>
      <w:r>
        <w:rPr>
          <w:rFonts w:hint="eastAsia" w:ascii="宋体" w:hAnsi="宋体"/>
          <w:b w:val="0"/>
          <w:bCs w:val="0"/>
          <w:color w:val="000000"/>
          <w:spacing w:val="15"/>
          <w:kern w:val="0"/>
          <w:sz w:val="24"/>
          <w:szCs w:val="24"/>
          <w:lang w:val="en-US" w:eastAsia="zh-CN"/>
        </w:rPr>
        <w:t>2：</w:t>
      </w:r>
      <w:r>
        <w:rPr>
          <w:rFonts w:hint="eastAsia" w:ascii="宋体" w:hAnsi="宋体" w:eastAsia="宋体" w:cs="宋体"/>
          <w:b w:val="0"/>
          <w:bCs w:val="0"/>
          <w:i w:val="0"/>
          <w:caps w:val="0"/>
          <w:color w:val="000000" w:themeColor="text1"/>
          <w:spacing w:val="0"/>
          <w:sz w:val="24"/>
          <w:szCs w:val="24"/>
          <w:shd w:val="clear" w:color="auto" w:fill="FFFFFF"/>
          <w14:textFill>
            <w14:solidFill>
              <w14:schemeClr w14:val="tx1"/>
            </w14:solidFill>
          </w14:textFill>
        </w:rPr>
        <w:t>《</w:t>
      </w:r>
      <w:r>
        <w:rPr>
          <w:rFonts w:hint="eastAsia" w:cs="宋体"/>
          <w:b w:val="0"/>
          <w:bCs w:val="0"/>
          <w:i w:val="0"/>
          <w:caps w:val="0"/>
          <w:color w:val="000000" w:themeColor="text1"/>
          <w:spacing w:val="0"/>
          <w:sz w:val="24"/>
          <w:szCs w:val="24"/>
          <w:shd w:val="clear" w:color="auto" w:fill="FFFFFF"/>
          <w:lang w:eastAsia="zh-CN"/>
          <w14:textFill>
            <w14:solidFill>
              <w14:schemeClr w14:val="tx1"/>
            </w14:solidFill>
          </w14:textFill>
        </w:rPr>
        <w:t>安徽扬子</w:t>
      </w:r>
      <w:r>
        <w:rPr>
          <w:rFonts w:hint="eastAsia" w:ascii="宋体" w:hAnsi="宋体" w:eastAsia="宋体" w:cs="宋体"/>
          <w:b w:val="0"/>
          <w:bCs w:val="0"/>
          <w:i w:val="0"/>
          <w:caps w:val="0"/>
          <w:color w:val="000000" w:themeColor="text1"/>
          <w:spacing w:val="0"/>
          <w:sz w:val="24"/>
          <w:szCs w:val="24"/>
          <w:shd w:val="clear" w:color="auto" w:fill="FFFFFF"/>
          <w14:textFill>
            <w14:solidFill>
              <w14:schemeClr w14:val="tx1"/>
            </w14:solidFill>
          </w14:textFill>
        </w:rPr>
        <w:t>职业技术学院</w:t>
      </w:r>
      <w:r>
        <w:rPr>
          <w:rFonts w:hint="eastAsia" w:ascii="宋体" w:hAnsi="宋体" w:eastAsia="宋体" w:cs="宋体"/>
          <w:b w:val="0"/>
          <w:bCs w:val="0"/>
          <w:i w:val="0"/>
          <w:caps w:val="0"/>
          <w:color w:val="000000" w:themeColor="text1"/>
          <w:spacing w:val="0"/>
          <w:sz w:val="24"/>
          <w:szCs w:val="24"/>
          <w:shd w:val="clear" w:color="auto" w:fill="FFFFFF"/>
          <w:lang w:eastAsia="zh-CN"/>
          <w14:textFill>
            <w14:solidFill>
              <w14:schemeClr w14:val="tx1"/>
            </w14:solidFill>
          </w14:textFill>
        </w:rPr>
        <w:t>关于</w:t>
      </w:r>
      <w:r>
        <w:rPr>
          <w:rFonts w:hint="eastAsia" w:ascii="宋体" w:hAnsi="宋体" w:eastAsia="宋体" w:cs="宋体"/>
          <w:b w:val="0"/>
          <w:bCs w:val="0"/>
          <w:i w:val="0"/>
          <w:caps w:val="0"/>
          <w:color w:val="000000" w:themeColor="text1"/>
          <w:spacing w:val="0"/>
          <w:sz w:val="24"/>
          <w:szCs w:val="24"/>
          <w:shd w:val="clear" w:color="auto" w:fill="FFFFFF"/>
          <w14:textFill>
            <w14:solidFill>
              <w14:schemeClr w14:val="tx1"/>
            </w14:solidFill>
          </w14:textFill>
        </w:rPr>
        <w:t>扩招学生学习成果认定和转换工作实施办法（试行）》</w:t>
      </w:r>
    </w:p>
    <w:p>
      <w:pPr>
        <w:keepNext w:val="0"/>
        <w:keepLines w:val="0"/>
        <w:widowControl/>
        <w:suppressLineNumbers w:val="0"/>
        <w:spacing w:before="0" w:beforeAutospacing="0" w:after="0" w:afterAutospacing="0" w:line="500" w:lineRule="exact"/>
        <w:ind w:right="0"/>
        <w:jc w:val="right"/>
        <w:rPr>
          <w:rFonts w:hint="default" w:ascii="宋体" w:hAnsi="宋体"/>
          <w:b w:val="0"/>
          <w:bCs w:val="0"/>
          <w:color w:val="000000"/>
          <w:spacing w:val="15"/>
          <w:kern w:val="0"/>
          <w:sz w:val="28"/>
          <w:szCs w:val="28"/>
          <w:lang w:val="en-US" w:eastAsia="zh-CN"/>
        </w:rPr>
      </w:pPr>
      <w:r>
        <w:rPr>
          <w:rFonts w:hint="eastAsia" w:ascii="宋体" w:hAnsi="宋体"/>
          <w:b w:val="0"/>
          <w:bCs w:val="0"/>
          <w:color w:val="000000"/>
          <w:spacing w:val="15"/>
          <w:kern w:val="0"/>
          <w:sz w:val="28"/>
          <w:szCs w:val="28"/>
          <w:lang w:val="en-US" w:eastAsia="zh-CN"/>
        </w:rPr>
        <w:t xml:space="preserve">                         继续教育学院</w:t>
      </w:r>
    </w:p>
    <w:p>
      <w:pPr>
        <w:keepNext w:val="0"/>
        <w:keepLines w:val="0"/>
        <w:widowControl/>
        <w:suppressLineNumbers w:val="0"/>
        <w:spacing w:before="0" w:beforeAutospacing="0" w:after="0" w:afterAutospacing="0" w:line="500" w:lineRule="exact"/>
        <w:ind w:right="0"/>
        <w:jc w:val="right"/>
        <w:rPr>
          <w:rFonts w:hint="eastAsia" w:ascii="宋体" w:hAnsi="宋体"/>
          <w:b w:val="0"/>
          <w:bCs w:val="0"/>
          <w:color w:val="000000"/>
          <w:spacing w:val="15"/>
          <w:kern w:val="0"/>
          <w:sz w:val="28"/>
          <w:szCs w:val="28"/>
          <w:lang w:val="en-US" w:eastAsia="zh-CN"/>
        </w:rPr>
      </w:pPr>
      <w:r>
        <w:rPr>
          <w:rFonts w:hint="eastAsia" w:ascii="宋体" w:hAnsi="宋体"/>
          <w:b w:val="0"/>
          <w:bCs w:val="0"/>
          <w:color w:val="000000"/>
          <w:spacing w:val="15"/>
          <w:kern w:val="0"/>
          <w:sz w:val="28"/>
          <w:szCs w:val="28"/>
          <w:lang w:val="en-US" w:eastAsia="zh-CN"/>
        </w:rPr>
        <w:t xml:space="preserve">                       2022年4月14日</w:t>
      </w:r>
    </w:p>
    <w:p>
      <w:pPr>
        <w:keepNext w:val="0"/>
        <w:keepLines w:val="0"/>
        <w:widowControl/>
        <w:suppressLineNumbers w:val="0"/>
        <w:spacing w:before="0" w:beforeAutospacing="0" w:after="0" w:afterAutospacing="0" w:line="500" w:lineRule="exact"/>
        <w:ind w:right="0"/>
        <w:jc w:val="left"/>
        <w:rPr>
          <w:rFonts w:hint="eastAsia" w:ascii="宋体" w:hAnsi="宋体"/>
          <w:b w:val="0"/>
          <w:bCs w:val="0"/>
          <w:color w:val="000000"/>
          <w:spacing w:val="15"/>
          <w:kern w:val="0"/>
          <w:sz w:val="28"/>
          <w:szCs w:val="28"/>
          <w:lang w:eastAsia="zh-CN"/>
        </w:rPr>
      </w:pPr>
    </w:p>
    <w:p>
      <w:pPr>
        <w:keepNext w:val="0"/>
        <w:keepLines w:val="0"/>
        <w:widowControl/>
        <w:suppressLineNumbers w:val="0"/>
        <w:spacing w:before="0" w:beforeAutospacing="0" w:after="0" w:afterAutospacing="0" w:line="500" w:lineRule="exact"/>
        <w:ind w:right="0"/>
        <w:jc w:val="left"/>
        <w:rPr>
          <w:rFonts w:hint="eastAsia" w:ascii="宋体" w:hAnsi="宋体"/>
          <w:b w:val="0"/>
          <w:bCs w:val="0"/>
          <w:color w:val="000000"/>
          <w:spacing w:val="15"/>
          <w:kern w:val="0"/>
          <w:sz w:val="28"/>
          <w:szCs w:val="28"/>
          <w:lang w:eastAsia="zh-CN"/>
        </w:rPr>
      </w:pPr>
    </w:p>
    <w:p>
      <w:pPr>
        <w:keepNext w:val="0"/>
        <w:keepLines w:val="0"/>
        <w:widowControl/>
        <w:suppressLineNumbers w:val="0"/>
        <w:spacing w:before="0" w:beforeAutospacing="0" w:after="0" w:afterAutospacing="0" w:line="500" w:lineRule="exact"/>
        <w:ind w:right="0"/>
        <w:jc w:val="left"/>
        <w:rPr>
          <w:rFonts w:hint="eastAsia" w:ascii="宋体" w:hAnsi="宋体"/>
          <w:b w:val="0"/>
          <w:bCs w:val="0"/>
          <w:color w:val="000000"/>
          <w:spacing w:val="15"/>
          <w:kern w:val="0"/>
          <w:sz w:val="28"/>
          <w:szCs w:val="28"/>
          <w:lang w:eastAsia="zh-CN"/>
        </w:rPr>
      </w:pPr>
    </w:p>
    <w:p>
      <w:pPr>
        <w:keepNext w:val="0"/>
        <w:keepLines w:val="0"/>
        <w:widowControl/>
        <w:suppressLineNumbers w:val="0"/>
        <w:spacing w:before="0" w:beforeAutospacing="0" w:after="0" w:afterAutospacing="0" w:line="500" w:lineRule="exact"/>
        <w:ind w:right="0"/>
        <w:jc w:val="left"/>
        <w:rPr>
          <w:rFonts w:hint="eastAsia" w:ascii="宋体" w:hAnsi="宋体"/>
          <w:b w:val="0"/>
          <w:bCs w:val="0"/>
          <w:color w:val="000000"/>
          <w:spacing w:val="15"/>
          <w:kern w:val="0"/>
          <w:sz w:val="28"/>
          <w:szCs w:val="28"/>
          <w:lang w:val="en-US" w:eastAsia="zh-CN"/>
        </w:rPr>
      </w:pPr>
      <w:r>
        <w:rPr>
          <w:rFonts w:hint="eastAsia" w:ascii="宋体" w:hAnsi="宋体"/>
          <w:b w:val="0"/>
          <w:bCs w:val="0"/>
          <w:color w:val="000000"/>
          <w:spacing w:val="15"/>
          <w:kern w:val="0"/>
          <w:sz w:val="28"/>
          <w:szCs w:val="28"/>
          <w:lang w:eastAsia="zh-CN"/>
        </w:rPr>
        <w:t>《安徽扬子职业技术学院学生学习</w:t>
      </w:r>
      <w:r>
        <w:rPr>
          <w:rFonts w:hint="eastAsia" w:ascii="宋体" w:hAnsi="宋体" w:eastAsia="宋体" w:cs="宋体"/>
          <w:b w:val="0"/>
          <w:bCs w:val="0"/>
          <w:color w:val="000000"/>
          <w:spacing w:val="15"/>
          <w:kern w:val="0"/>
          <w:sz w:val="28"/>
          <w:szCs w:val="28"/>
        </w:rPr>
        <w:t>成果认定和转换</w:t>
      </w:r>
      <w:r>
        <w:rPr>
          <w:rFonts w:hint="eastAsia" w:ascii="宋体" w:hAnsi="宋体" w:eastAsia="宋体" w:cs="宋体"/>
          <w:b w:val="0"/>
          <w:bCs w:val="0"/>
          <w:color w:val="000000"/>
          <w:spacing w:val="15"/>
          <w:kern w:val="0"/>
          <w:sz w:val="28"/>
          <w:szCs w:val="28"/>
          <w:lang w:eastAsia="zh-CN"/>
        </w:rPr>
        <w:t>申请表</w:t>
      </w:r>
      <w:r>
        <w:rPr>
          <w:rFonts w:hint="eastAsia" w:ascii="宋体" w:hAnsi="宋体"/>
          <w:b w:val="0"/>
          <w:bCs w:val="0"/>
          <w:color w:val="000000"/>
          <w:spacing w:val="15"/>
          <w:kern w:val="0"/>
          <w:sz w:val="28"/>
          <w:szCs w:val="28"/>
          <w:lang w:eastAsia="zh-CN"/>
        </w:rPr>
        <w:t>》</w:t>
      </w:r>
    </w:p>
    <w:tbl>
      <w:tblPr>
        <w:tblStyle w:val="3"/>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57"/>
        <w:gridCol w:w="945"/>
        <w:gridCol w:w="120"/>
        <w:gridCol w:w="1275"/>
        <w:gridCol w:w="803"/>
        <w:gridCol w:w="534"/>
        <w:gridCol w:w="906"/>
        <w:gridCol w:w="540"/>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88" w:type="dxa"/>
            <w:tcBorders>
              <w:top w:val="single" w:color="auto" w:sz="12" w:space="0"/>
              <w:left w:val="single" w:color="auto" w:sz="12" w:space="0"/>
              <w:bottom w:val="single" w:color="auto" w:sz="4" w:space="0"/>
              <w:right w:val="single" w:color="auto" w:sz="8"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357" w:type="dxa"/>
            <w:tcBorders>
              <w:top w:val="single" w:color="auto" w:sz="12"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Cs w:val="21"/>
              </w:rPr>
            </w:pPr>
          </w:p>
        </w:tc>
        <w:tc>
          <w:tcPr>
            <w:tcW w:w="945" w:type="dxa"/>
            <w:tcBorders>
              <w:top w:val="single" w:color="auto" w:sz="12"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学号</w:t>
            </w:r>
          </w:p>
        </w:tc>
        <w:tc>
          <w:tcPr>
            <w:tcW w:w="2198" w:type="dxa"/>
            <w:gridSpan w:val="3"/>
            <w:tcBorders>
              <w:top w:val="single" w:color="auto" w:sz="12" w:space="0"/>
              <w:left w:val="single" w:color="auto" w:sz="8" w:space="0"/>
              <w:bottom w:val="single" w:color="auto" w:sz="8" w:space="0"/>
              <w:right w:val="single" w:color="auto" w:sz="12" w:space="0"/>
            </w:tcBorders>
            <w:noWrap w:val="0"/>
            <w:vAlign w:val="center"/>
          </w:tcPr>
          <w:p>
            <w:pPr>
              <w:jc w:val="center"/>
              <w:rPr>
                <w:rFonts w:hint="eastAsia" w:ascii="宋体" w:hAnsi="宋体" w:eastAsia="宋体" w:cs="宋体"/>
                <w:color w:val="auto"/>
                <w:szCs w:val="21"/>
              </w:rPr>
            </w:pPr>
          </w:p>
        </w:tc>
        <w:tc>
          <w:tcPr>
            <w:tcW w:w="1440"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联系电话</w:t>
            </w:r>
          </w:p>
        </w:tc>
        <w:tc>
          <w:tcPr>
            <w:tcW w:w="1902"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88" w:type="dxa"/>
            <w:tcBorders>
              <w:top w:val="single" w:color="auto" w:sz="4" w:space="0"/>
              <w:left w:val="single" w:color="auto" w:sz="12" w:space="0"/>
              <w:bottom w:val="single" w:color="auto" w:sz="8" w:space="0"/>
              <w:right w:val="single" w:color="auto" w:sz="8" w:space="0"/>
            </w:tcBorders>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班级</w:t>
            </w:r>
          </w:p>
        </w:tc>
        <w:tc>
          <w:tcPr>
            <w:tcW w:w="2302" w:type="dxa"/>
            <w:gridSpan w:val="2"/>
            <w:tcBorders>
              <w:top w:val="single" w:color="auto" w:sz="4" w:space="0"/>
              <w:left w:val="single" w:color="auto" w:sz="8" w:space="0"/>
              <w:bottom w:val="single" w:color="auto" w:sz="8" w:space="0"/>
              <w:right w:val="single" w:color="auto" w:sz="4" w:space="0"/>
            </w:tcBorders>
            <w:noWrap w:val="0"/>
            <w:vAlign w:val="center"/>
          </w:tcPr>
          <w:p>
            <w:pPr>
              <w:jc w:val="center"/>
              <w:rPr>
                <w:rFonts w:hint="eastAsia" w:ascii="宋体" w:hAnsi="宋体" w:eastAsia="宋体" w:cs="宋体"/>
                <w:color w:val="auto"/>
                <w:szCs w:val="21"/>
                <w:lang w:val="en-US" w:eastAsia="zh-CN"/>
              </w:rPr>
            </w:pPr>
          </w:p>
        </w:tc>
        <w:tc>
          <w:tcPr>
            <w:tcW w:w="2198" w:type="dxa"/>
            <w:gridSpan w:val="3"/>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学年学期</w:t>
            </w:r>
          </w:p>
        </w:tc>
        <w:tc>
          <w:tcPr>
            <w:tcW w:w="3342" w:type="dxa"/>
            <w:gridSpan w:val="4"/>
            <w:tcBorders>
              <w:top w:val="single" w:color="auto" w:sz="4" w:space="0"/>
              <w:left w:val="single" w:color="auto" w:sz="4" w:space="0"/>
              <w:bottom w:val="single" w:color="auto" w:sz="8" w:space="0"/>
              <w:right w:val="single" w:color="auto" w:sz="12" w:space="0"/>
            </w:tcBorders>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9030" w:type="dxa"/>
            <w:gridSpan w:val="10"/>
            <w:tcBorders>
              <w:top w:val="single" w:color="auto" w:sz="12" w:space="0"/>
              <w:left w:val="single" w:color="auto" w:sz="12" w:space="0"/>
              <w:bottom w:val="single" w:color="auto" w:sz="8" w:space="0"/>
              <w:right w:val="single" w:color="auto" w:sz="12" w:space="0"/>
            </w:tcBorders>
            <w:noWrap w:val="0"/>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申请学习成果认定和转换基本信息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trPr>
        <w:tc>
          <w:tcPr>
            <w:tcW w:w="1188" w:type="dxa"/>
            <w:tcBorders>
              <w:top w:val="single" w:color="auto" w:sz="8" w:space="0"/>
              <w:left w:val="single" w:color="auto" w:sz="12" w:space="0"/>
              <w:bottom w:val="single" w:color="auto" w:sz="8"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成果</w:t>
            </w:r>
            <w:r>
              <w:rPr>
                <w:rFonts w:hint="eastAsia" w:ascii="宋体" w:hAnsi="宋体" w:eastAsia="宋体" w:cs="宋体"/>
                <w:color w:val="auto"/>
                <w:szCs w:val="21"/>
                <w:lang w:eastAsia="zh-CN"/>
              </w:rPr>
              <w:t>类型</w:t>
            </w:r>
          </w:p>
        </w:tc>
        <w:tc>
          <w:tcPr>
            <w:tcW w:w="7842" w:type="dxa"/>
            <w:gridSpan w:val="9"/>
            <w:tcBorders>
              <w:top w:val="single" w:color="auto" w:sz="8" w:space="0"/>
              <w:left w:val="single" w:color="auto" w:sz="4" w:space="0"/>
              <w:bottom w:val="single" w:color="auto" w:sz="8" w:space="0"/>
              <w:right w:val="single" w:color="auto" w:sz="12" w:space="0"/>
            </w:tcBorders>
            <w:noWrap w:val="0"/>
            <w:vAlign w:val="center"/>
          </w:tcPr>
          <w:p>
            <w:pPr>
              <w:jc w:val="both"/>
              <w:rPr>
                <w:rFonts w:hint="eastAsia" w:ascii="宋体" w:hAnsi="宋体" w:eastAsia="宋体" w:cs="宋体"/>
                <w:color w:val="auto"/>
                <w:szCs w:val="21"/>
              </w:rPr>
            </w:pPr>
          </w:p>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申请人签名：</w:t>
            </w:r>
          </w:p>
          <w:p>
            <w:pPr>
              <w:ind w:right="210"/>
              <w:jc w:val="right"/>
              <w:rPr>
                <w:rFonts w:hint="eastAsia" w:ascii="宋体" w:hAnsi="宋体" w:eastAsia="宋体" w:cs="宋体"/>
                <w:color w:val="auto"/>
                <w:szCs w:val="21"/>
              </w:rPr>
            </w:pPr>
            <w:r>
              <w:rPr>
                <w:rFonts w:hint="eastAsia" w:ascii="宋体" w:hAnsi="宋体" w:eastAsia="宋体" w:cs="宋体"/>
                <w:color w:val="auto"/>
                <w:szCs w:val="21"/>
              </w:rPr>
              <w:t xml:space="preserve"> 年     月     日</w:t>
            </w:r>
          </w:p>
          <w:p>
            <w:pPr>
              <w:jc w:val="center"/>
              <w:rPr>
                <w:rFonts w:hint="eastAsia" w:ascii="宋体" w:hAnsi="宋体" w:eastAsia="宋体" w:cs="宋体"/>
                <w:color w:val="auto"/>
                <w:szCs w:val="21"/>
                <w:lang w:val="en-US" w:eastAsia="zh-CN"/>
              </w:rPr>
            </w:pPr>
          </w:p>
          <w:p>
            <w:pPr>
              <w:jc w:val="center"/>
              <w:rPr>
                <w:rFonts w:hint="eastAsia" w:ascii="宋体" w:hAnsi="宋体" w:eastAsia="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1188"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成果形式</w:t>
            </w:r>
          </w:p>
        </w:tc>
        <w:tc>
          <w:tcPr>
            <w:tcW w:w="7842" w:type="dxa"/>
            <w:gridSpan w:val="9"/>
            <w:tcBorders>
              <w:top w:val="single" w:color="auto" w:sz="8" w:space="0"/>
              <w:left w:val="single" w:color="auto" w:sz="8" w:space="0"/>
              <w:bottom w:val="single" w:color="auto" w:sz="12" w:space="0"/>
              <w:right w:val="single" w:color="auto" w:sz="12" w:space="0"/>
            </w:tcBorders>
            <w:noWrap w:val="0"/>
            <w:vAlign w:val="center"/>
          </w:tcPr>
          <w:p>
            <w:pPr>
              <w:rPr>
                <w:rFonts w:hint="eastAsia" w:ascii="宋体" w:hAnsi="宋体" w:eastAsia="宋体" w:cs="宋体"/>
                <w:color w:val="auto"/>
                <w:szCs w:val="21"/>
              </w:rPr>
            </w:pPr>
            <w:r>
              <w:rPr>
                <w:rFonts w:hint="eastAsia" w:ascii="仿宋" w:hAnsi="仿宋" w:eastAsia="仿宋" w:cs="仿宋"/>
                <w:color w:val="auto"/>
                <w:kern w:val="0"/>
                <w:sz w:val="21"/>
                <w:szCs w:val="21"/>
                <w:lang w:val="en-US" w:eastAsia="zh-CN" w:bidi="ar"/>
              </w:rPr>
              <w:t>（</w:t>
            </w:r>
            <w:r>
              <w:rPr>
                <w:rFonts w:ascii="仿宋" w:hAnsi="仿宋" w:eastAsia="仿宋" w:cs="仿宋"/>
                <w:color w:val="auto"/>
                <w:kern w:val="0"/>
                <w:sz w:val="21"/>
                <w:szCs w:val="21"/>
                <w:lang w:val="en-US" w:eastAsia="zh-CN" w:bidi="ar"/>
              </w:rPr>
              <w:t>附相关证明材料</w:t>
            </w:r>
            <w:r>
              <w:rPr>
                <w:rFonts w:hint="eastAsia" w:ascii="仿宋" w:hAnsi="仿宋" w:eastAsia="仿宋" w:cs="仿宋"/>
                <w:color w:val="auto"/>
                <w:kern w:val="0"/>
                <w:sz w:val="21"/>
                <w:szCs w:val="21"/>
                <w:lang w:val="en-US" w:eastAsia="zh-CN" w:bidi="ar"/>
              </w:rPr>
              <w:t>）</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9030" w:type="dxa"/>
            <w:gridSpan w:val="10"/>
            <w:tcBorders>
              <w:top w:val="single" w:color="auto" w:sz="12" w:space="0"/>
              <w:left w:val="single" w:color="auto" w:sz="12" w:space="0"/>
              <w:bottom w:val="single" w:color="auto" w:sz="8" w:space="0"/>
              <w:right w:val="single" w:color="auto" w:sz="12"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b/>
                <w:color w:val="auto"/>
                <w:szCs w:val="21"/>
              </w:rPr>
              <w:t>申请认定和转换</w:t>
            </w:r>
            <w:r>
              <w:rPr>
                <w:rFonts w:hint="eastAsia" w:ascii="宋体" w:hAnsi="宋体" w:eastAsia="宋体" w:cs="宋体"/>
                <w:b/>
                <w:color w:val="auto"/>
                <w:szCs w:val="21"/>
                <w:lang w:val="en-US" w:eastAsia="zh-CN"/>
              </w:rPr>
              <w:t>对应课程</w:t>
            </w:r>
            <w:r>
              <w:rPr>
                <w:rFonts w:hint="eastAsia" w:ascii="宋体" w:hAnsi="宋体" w:eastAsia="宋体" w:cs="宋体"/>
                <w:b/>
                <w:color w:val="auto"/>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88" w:type="dxa"/>
            <w:vMerge w:val="restart"/>
            <w:tcBorders>
              <w:top w:val="single" w:color="auto" w:sz="8" w:space="0"/>
              <w:left w:val="single" w:color="auto" w:sz="12"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课程情况</w:t>
            </w:r>
          </w:p>
        </w:tc>
        <w:tc>
          <w:tcPr>
            <w:tcW w:w="2422" w:type="dxa"/>
            <w:gridSpan w:val="3"/>
            <w:tcBorders>
              <w:top w:val="single" w:color="auto" w:sz="8" w:space="0"/>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课程</w:t>
            </w:r>
            <w:r>
              <w:rPr>
                <w:rFonts w:hint="eastAsia" w:ascii="宋体" w:hAnsi="宋体" w:eastAsia="宋体" w:cs="宋体"/>
                <w:color w:val="auto"/>
                <w:szCs w:val="21"/>
                <w:lang w:val="en-US" w:eastAsia="zh-CN"/>
              </w:rPr>
              <w:t>名称</w:t>
            </w:r>
          </w:p>
        </w:tc>
        <w:tc>
          <w:tcPr>
            <w:tcW w:w="1275" w:type="dxa"/>
            <w:tcBorders>
              <w:top w:val="single" w:color="auto" w:sz="8" w:space="0"/>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课程</w:t>
            </w:r>
            <w:r>
              <w:rPr>
                <w:rFonts w:hint="eastAsia" w:ascii="宋体" w:hAnsi="宋体" w:eastAsia="宋体" w:cs="宋体"/>
                <w:color w:val="auto"/>
                <w:szCs w:val="21"/>
                <w:lang w:val="en-US" w:eastAsia="zh-CN"/>
              </w:rPr>
              <w:t>性质</w:t>
            </w:r>
          </w:p>
        </w:tc>
        <w:tc>
          <w:tcPr>
            <w:tcW w:w="1337" w:type="dxa"/>
            <w:gridSpan w:val="2"/>
            <w:tcBorders>
              <w:top w:val="single" w:color="auto" w:sz="8" w:space="0"/>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学分</w:t>
            </w:r>
          </w:p>
        </w:tc>
        <w:tc>
          <w:tcPr>
            <w:tcW w:w="1446" w:type="dxa"/>
            <w:gridSpan w:val="2"/>
            <w:tcBorders>
              <w:top w:val="single" w:color="auto" w:sz="8" w:space="0"/>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成绩</w:t>
            </w:r>
          </w:p>
        </w:tc>
        <w:tc>
          <w:tcPr>
            <w:tcW w:w="1362" w:type="dxa"/>
            <w:tcBorders>
              <w:top w:val="single" w:color="auto" w:sz="8" w:space="0"/>
              <w:left w:val="single" w:color="auto" w:sz="4" w:space="0"/>
              <w:bottom w:val="single" w:color="auto" w:sz="8" w:space="0"/>
              <w:right w:val="single" w:color="auto" w:sz="12" w:space="0"/>
            </w:tcBorders>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88" w:type="dxa"/>
            <w:vMerge w:val="continue"/>
            <w:tcBorders>
              <w:left w:val="single" w:color="auto" w:sz="12" w:space="0"/>
              <w:right w:val="single" w:color="auto" w:sz="4" w:space="0"/>
            </w:tcBorders>
            <w:noWrap w:val="0"/>
            <w:vAlign w:val="center"/>
          </w:tcPr>
          <w:p>
            <w:pPr>
              <w:jc w:val="center"/>
              <w:rPr>
                <w:rFonts w:hint="eastAsia" w:ascii="宋体" w:hAnsi="宋体" w:eastAsia="宋体" w:cs="宋体"/>
                <w:color w:val="auto"/>
                <w:szCs w:val="21"/>
              </w:rPr>
            </w:pPr>
          </w:p>
        </w:tc>
        <w:tc>
          <w:tcPr>
            <w:tcW w:w="2422"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宋体" w:hAnsi="宋体" w:eastAsia="宋体" w:cs="宋体"/>
                <w:color w:val="auto"/>
                <w:szCs w:val="21"/>
              </w:rPr>
            </w:pPr>
          </w:p>
        </w:tc>
        <w:tc>
          <w:tcPr>
            <w:tcW w:w="1275"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宋体" w:hAnsi="宋体" w:eastAsia="宋体" w:cs="宋体"/>
                <w:color w:val="auto"/>
                <w:szCs w:val="21"/>
              </w:rPr>
            </w:pPr>
          </w:p>
        </w:tc>
        <w:tc>
          <w:tcPr>
            <w:tcW w:w="1337"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宋体" w:hAnsi="宋体" w:eastAsia="宋体" w:cs="宋体"/>
                <w:color w:val="auto"/>
                <w:szCs w:val="21"/>
              </w:rPr>
            </w:pPr>
          </w:p>
        </w:tc>
        <w:tc>
          <w:tcPr>
            <w:tcW w:w="1446"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宋体" w:hAnsi="宋体" w:eastAsia="宋体" w:cs="宋体"/>
                <w:color w:val="auto"/>
                <w:szCs w:val="21"/>
              </w:rPr>
            </w:pPr>
          </w:p>
        </w:tc>
        <w:tc>
          <w:tcPr>
            <w:tcW w:w="1362" w:type="dxa"/>
            <w:tcBorders>
              <w:top w:val="single" w:color="auto" w:sz="4" w:space="0"/>
              <w:left w:val="single" w:color="auto" w:sz="4" w:space="0"/>
              <w:bottom w:val="single" w:color="auto" w:sz="12" w:space="0"/>
              <w:right w:val="single" w:color="auto" w:sz="12" w:space="0"/>
            </w:tcBorders>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1188" w:type="dxa"/>
            <w:tcBorders>
              <w:top w:val="single" w:color="auto" w:sz="12" w:space="0"/>
              <w:left w:val="single" w:color="auto" w:sz="12" w:space="0"/>
              <w:bottom w:val="single" w:color="auto" w:sz="12"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二级学院</w:t>
            </w:r>
            <w:r>
              <w:rPr>
                <w:rFonts w:hint="eastAsia" w:ascii="宋体" w:hAnsi="宋体" w:eastAsia="宋体" w:cs="宋体"/>
                <w:color w:val="auto"/>
                <w:szCs w:val="21"/>
              </w:rPr>
              <w:t>审核</w:t>
            </w:r>
          </w:p>
        </w:tc>
        <w:tc>
          <w:tcPr>
            <w:tcW w:w="7842" w:type="dxa"/>
            <w:gridSpan w:val="9"/>
            <w:tcBorders>
              <w:top w:val="single" w:color="auto" w:sz="12" w:space="0"/>
              <w:left w:val="single" w:color="auto" w:sz="8" w:space="0"/>
              <w:bottom w:val="single" w:color="auto" w:sz="12" w:space="0"/>
              <w:right w:val="single" w:color="auto" w:sz="12" w:space="0"/>
            </w:tcBorders>
            <w:noWrap w:val="0"/>
            <w:vAlign w:val="top"/>
          </w:tcPr>
          <w:p>
            <w:pPr>
              <w:jc w:val="left"/>
              <w:rPr>
                <w:rFonts w:hint="eastAsia" w:ascii="宋体" w:hAnsi="宋体" w:eastAsia="宋体" w:cs="宋体"/>
                <w:color w:val="auto"/>
                <w:szCs w:val="21"/>
              </w:rPr>
            </w:pPr>
          </w:p>
          <w:p>
            <w:pPr>
              <w:jc w:val="left"/>
              <w:rPr>
                <w:rFonts w:hint="eastAsia" w:ascii="宋体" w:hAnsi="宋体" w:eastAsia="宋体" w:cs="宋体"/>
                <w:color w:val="auto"/>
                <w:szCs w:val="21"/>
              </w:rPr>
            </w:pPr>
          </w:p>
          <w:p>
            <w:pPr>
              <w:jc w:val="left"/>
              <w:rPr>
                <w:rFonts w:hint="eastAsia" w:ascii="宋体" w:hAnsi="宋体" w:eastAsia="宋体" w:cs="宋体"/>
                <w:color w:val="auto"/>
                <w:szCs w:val="21"/>
              </w:rPr>
            </w:pPr>
          </w:p>
          <w:p>
            <w:pPr>
              <w:jc w:val="left"/>
              <w:rPr>
                <w:rFonts w:hint="eastAsia" w:ascii="宋体" w:hAnsi="宋体" w:eastAsia="宋体" w:cs="宋体"/>
                <w:color w:val="auto"/>
                <w:szCs w:val="21"/>
              </w:rPr>
            </w:pPr>
          </w:p>
          <w:p>
            <w:pPr>
              <w:ind w:firstLine="1575" w:firstLineChars="750"/>
              <w:jc w:val="cente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签字（公章）</w:t>
            </w:r>
            <w:r>
              <w:rPr>
                <w:rFonts w:hint="eastAsia" w:ascii="宋体" w:hAnsi="宋体" w:eastAsia="宋体" w:cs="宋体"/>
                <w:color w:val="auto"/>
                <w:szCs w:val="21"/>
              </w:rPr>
              <w:t xml:space="preserve">： </w:t>
            </w:r>
          </w:p>
          <w:p>
            <w:pPr>
              <w:ind w:firstLine="1575" w:firstLineChars="75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188" w:type="dxa"/>
            <w:tcBorders>
              <w:top w:val="single" w:color="auto" w:sz="12" w:space="0"/>
              <w:left w:val="single" w:color="auto" w:sz="12" w:space="0"/>
              <w:bottom w:val="single" w:color="auto" w:sz="12" w:space="0"/>
              <w:right w:val="single" w:color="auto" w:sz="8" w:space="0"/>
            </w:tcBorders>
            <w:noWrap w:val="0"/>
            <w:vAlign w:val="center"/>
          </w:tcPr>
          <w:p>
            <w:pPr>
              <w:jc w:val="both"/>
              <w:rPr>
                <w:rFonts w:hint="eastAsia" w:ascii="宋体" w:hAnsi="宋体" w:eastAsia="宋体" w:cs="宋体"/>
                <w:color w:val="auto"/>
                <w:szCs w:val="21"/>
              </w:rPr>
            </w:pPr>
            <w:r>
              <w:rPr>
                <w:rFonts w:hint="eastAsia" w:ascii="宋体" w:hAnsi="宋体" w:eastAsia="宋体" w:cs="宋体"/>
                <w:color w:val="auto"/>
                <w:szCs w:val="21"/>
                <w:lang w:val="en-US" w:eastAsia="zh-CN"/>
              </w:rPr>
              <w:t>学校</w:t>
            </w:r>
            <w:r>
              <w:rPr>
                <w:rFonts w:hint="eastAsia" w:ascii="宋体" w:hAnsi="宋体" w:eastAsia="宋体" w:cs="宋体"/>
                <w:color w:val="auto"/>
                <w:szCs w:val="21"/>
              </w:rPr>
              <w:t>审核</w:t>
            </w:r>
          </w:p>
        </w:tc>
        <w:tc>
          <w:tcPr>
            <w:tcW w:w="7842" w:type="dxa"/>
            <w:gridSpan w:val="9"/>
            <w:tcBorders>
              <w:top w:val="single" w:color="auto" w:sz="12" w:space="0"/>
              <w:left w:val="single" w:color="auto" w:sz="8" w:space="0"/>
              <w:bottom w:val="single" w:color="auto" w:sz="12" w:space="0"/>
              <w:right w:val="single" w:color="auto" w:sz="12" w:space="0"/>
            </w:tcBorders>
            <w:noWrap w:val="0"/>
            <w:vAlign w:val="center"/>
          </w:tcPr>
          <w:p>
            <w:pPr>
              <w:ind w:firstLine="210" w:firstLineChars="100"/>
              <w:rPr>
                <w:rFonts w:hint="eastAsia" w:ascii="宋体" w:hAnsi="宋体" w:eastAsia="宋体" w:cs="宋体"/>
                <w:color w:val="auto"/>
                <w:szCs w:val="21"/>
              </w:rPr>
            </w:pPr>
          </w:p>
          <w:p>
            <w:pPr>
              <w:ind w:firstLine="210" w:firstLineChars="100"/>
              <w:rPr>
                <w:rFonts w:hint="eastAsia" w:ascii="宋体" w:hAnsi="宋体" w:eastAsia="宋体" w:cs="宋体"/>
                <w:color w:val="auto"/>
                <w:szCs w:val="21"/>
              </w:rPr>
            </w:pPr>
          </w:p>
          <w:p>
            <w:pPr>
              <w:ind w:firstLine="210" w:firstLineChars="100"/>
              <w:rPr>
                <w:rFonts w:hint="eastAsia" w:ascii="宋体" w:hAnsi="宋体" w:eastAsia="宋体" w:cs="宋体"/>
                <w:color w:val="auto"/>
                <w:szCs w:val="21"/>
              </w:rPr>
            </w:pPr>
          </w:p>
          <w:p>
            <w:pPr>
              <w:ind w:firstLine="210" w:firstLineChars="100"/>
              <w:rPr>
                <w:rFonts w:hint="eastAsia" w:ascii="宋体" w:hAnsi="宋体" w:eastAsia="宋体" w:cs="宋体"/>
                <w:color w:val="auto"/>
                <w:szCs w:val="21"/>
              </w:rPr>
            </w:pPr>
          </w:p>
          <w:p>
            <w:pPr>
              <w:ind w:firstLine="210" w:firstLineChars="100"/>
              <w:rPr>
                <w:rFonts w:hint="eastAsia" w:ascii="宋体" w:hAnsi="宋体" w:eastAsia="宋体" w:cs="宋体"/>
                <w:color w:val="auto"/>
                <w:szCs w:val="21"/>
              </w:rPr>
            </w:pPr>
          </w:p>
          <w:p>
            <w:pPr>
              <w:ind w:firstLine="210" w:firstLineChars="100"/>
              <w:rPr>
                <w:rFonts w:hint="eastAsia" w:ascii="宋体" w:hAnsi="宋体" w:eastAsia="宋体" w:cs="宋体"/>
                <w:color w:val="auto"/>
                <w:szCs w:val="21"/>
              </w:rPr>
            </w:pPr>
          </w:p>
          <w:p>
            <w:pPr>
              <w:ind w:firstLine="1575" w:firstLineChars="75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签字（公章）</w:t>
            </w:r>
            <w:r>
              <w:rPr>
                <w:rFonts w:hint="eastAsia" w:ascii="宋体" w:hAnsi="宋体" w:eastAsia="宋体" w:cs="宋体"/>
                <w:color w:val="auto"/>
                <w:szCs w:val="21"/>
              </w:rPr>
              <w:t>：</w:t>
            </w:r>
          </w:p>
          <w:p>
            <w:pPr>
              <w:ind w:firstLine="1575" w:firstLineChars="75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     月     日</w:t>
            </w:r>
            <w:r>
              <w:rPr>
                <w:rFonts w:hint="eastAsia" w:ascii="宋体" w:hAnsi="宋体" w:eastAsia="宋体" w:cs="宋体"/>
                <w:color w:val="auto"/>
                <w:szCs w:val="21"/>
                <w:lang w:val="en-US" w:eastAsia="zh-CN"/>
              </w:rPr>
              <w:t xml:space="preserve">                                                                  </w:t>
            </w:r>
          </w:p>
          <w:p>
            <w:pPr>
              <w:ind w:firstLine="1575" w:firstLineChars="750"/>
              <w:jc w:val="right"/>
              <w:rPr>
                <w:rFonts w:hint="eastAsia" w:ascii="宋体" w:hAnsi="宋体" w:eastAsia="宋体" w:cs="宋体"/>
                <w:color w:val="auto"/>
                <w:szCs w:val="21"/>
              </w:rPr>
            </w:pPr>
          </w:p>
        </w:tc>
      </w:tr>
    </w:tbl>
    <w:p>
      <w:pPr>
        <w:keepNext w:val="0"/>
        <w:keepLines w:val="0"/>
        <w:widowControl/>
        <w:suppressLineNumbers w:val="0"/>
        <w:jc w:val="left"/>
        <w:rPr>
          <w:rFonts w:ascii="仿宋" w:hAnsi="仿宋" w:eastAsia="仿宋" w:cs="仿宋"/>
          <w:color w:val="auto"/>
          <w:kern w:val="0"/>
          <w:sz w:val="21"/>
          <w:szCs w:val="21"/>
          <w:lang w:val="en-US" w:eastAsia="zh-CN" w:bidi="ar"/>
        </w:rPr>
      </w:pPr>
      <w:r>
        <w:rPr>
          <w:rFonts w:ascii="仿宋" w:hAnsi="仿宋" w:eastAsia="仿宋" w:cs="仿宋"/>
          <w:color w:val="auto"/>
          <w:kern w:val="0"/>
          <w:sz w:val="21"/>
          <w:szCs w:val="21"/>
          <w:lang w:val="en-US" w:eastAsia="zh-CN" w:bidi="ar"/>
        </w:rPr>
        <w:t>注：1</w:t>
      </w:r>
      <w:r>
        <w:rPr>
          <w:rFonts w:hint="eastAsia" w:ascii="仿宋" w:hAnsi="仿宋" w:eastAsia="仿宋" w:cs="仿宋"/>
          <w:color w:val="auto"/>
          <w:kern w:val="0"/>
          <w:sz w:val="21"/>
          <w:szCs w:val="21"/>
          <w:lang w:val="en-US" w:eastAsia="zh-CN" w:bidi="ar"/>
        </w:rPr>
        <w:t>.</w:t>
      </w:r>
      <w:r>
        <w:rPr>
          <w:rFonts w:ascii="仿宋" w:hAnsi="仿宋" w:eastAsia="仿宋" w:cs="仿宋"/>
          <w:color w:val="auto"/>
          <w:kern w:val="0"/>
          <w:sz w:val="21"/>
          <w:szCs w:val="21"/>
          <w:lang w:val="en-US" w:eastAsia="zh-CN" w:bidi="ar"/>
        </w:rPr>
        <w:t>本表由学生本人填写一式</w:t>
      </w:r>
      <w:r>
        <w:rPr>
          <w:rFonts w:hint="eastAsia" w:ascii="仿宋" w:hAnsi="仿宋" w:eastAsia="仿宋" w:cs="仿宋"/>
          <w:color w:val="auto"/>
          <w:kern w:val="0"/>
          <w:sz w:val="21"/>
          <w:szCs w:val="21"/>
          <w:lang w:val="en-US" w:eastAsia="zh-CN" w:bidi="ar"/>
        </w:rPr>
        <w:t>三</w:t>
      </w:r>
      <w:r>
        <w:rPr>
          <w:rFonts w:ascii="仿宋" w:hAnsi="仿宋" w:eastAsia="仿宋" w:cs="仿宋"/>
          <w:color w:val="auto"/>
          <w:kern w:val="0"/>
          <w:sz w:val="21"/>
          <w:szCs w:val="21"/>
          <w:lang w:val="en-US" w:eastAsia="zh-CN" w:bidi="ar"/>
        </w:rPr>
        <w:t>份，</w:t>
      </w:r>
      <w:r>
        <w:rPr>
          <w:rFonts w:hint="eastAsia" w:ascii="仿宋" w:hAnsi="仿宋" w:eastAsia="仿宋" w:cs="仿宋"/>
          <w:color w:val="auto"/>
          <w:kern w:val="0"/>
          <w:sz w:val="21"/>
          <w:szCs w:val="21"/>
          <w:lang w:val="en-US" w:eastAsia="zh-CN" w:bidi="ar"/>
        </w:rPr>
        <w:t>学生本人、所属二级学院、继续教育学院各存一份复印件</w:t>
      </w:r>
      <w:r>
        <w:rPr>
          <w:rFonts w:ascii="仿宋" w:hAnsi="仿宋" w:eastAsia="仿宋" w:cs="仿宋"/>
          <w:color w:val="auto"/>
          <w:kern w:val="0"/>
          <w:sz w:val="21"/>
          <w:szCs w:val="21"/>
          <w:lang w:val="en-US" w:eastAsia="zh-CN" w:bidi="ar"/>
        </w:rPr>
        <w:t xml:space="preserve">。 </w:t>
      </w:r>
    </w:p>
    <w:p>
      <w:pPr>
        <w:keepNext w:val="0"/>
        <w:keepLines w:val="0"/>
        <w:widowControl/>
        <w:suppressLineNumbers w:val="0"/>
        <w:jc w:val="left"/>
        <w:rPr>
          <w:rFonts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2.成果类型为课程类学习成果和非课程类学习成果（包含：资格证书类、科学研究类、专业成果类、经历与资历（实践）类）。 </w:t>
      </w:r>
    </w:p>
    <w:p>
      <w:pPr>
        <w:keepNext w:val="0"/>
        <w:keepLines w:val="0"/>
        <w:widowControl/>
        <w:suppressLineNumbers w:val="0"/>
        <w:jc w:val="left"/>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3.成果形式指各类证书、职</w:t>
      </w:r>
      <w:bookmarkStart w:id="0" w:name="_GoBack"/>
      <w:bookmarkEnd w:id="0"/>
      <w:r>
        <w:rPr>
          <w:rFonts w:hint="eastAsia" w:ascii="仿宋" w:hAnsi="仿宋" w:eastAsia="仿宋" w:cs="仿宋"/>
          <w:color w:val="auto"/>
          <w:kern w:val="0"/>
          <w:sz w:val="21"/>
          <w:szCs w:val="21"/>
          <w:lang w:val="en-US" w:eastAsia="zh-CN" w:bidi="ar"/>
        </w:rPr>
        <w:t>称、xx职业经历、X</w:t>
      </w:r>
      <w:r>
        <w:rPr>
          <w:rFonts w:ascii="仿宋" w:hAnsi="仿宋" w:eastAsia="仿宋" w:cs="仿宋"/>
          <w:color w:val="auto"/>
          <w:kern w:val="0"/>
          <w:sz w:val="21"/>
          <w:szCs w:val="21"/>
          <w:lang w:val="en-US" w:eastAsia="zh-CN" w:bidi="ar"/>
        </w:rPr>
        <w:t>X志愿服务活动等</w:t>
      </w:r>
      <w:r>
        <w:rPr>
          <w:rFonts w:hint="eastAsia" w:ascii="仿宋" w:hAnsi="仿宋" w:eastAsia="仿宋" w:cs="仿宋"/>
          <w:color w:val="auto"/>
          <w:kern w:val="0"/>
          <w:sz w:val="21"/>
          <w:szCs w:val="21"/>
          <w:lang w:val="en-US" w:eastAsia="zh-CN" w:bidi="ar"/>
        </w:rPr>
        <w:t>，并应附佐证材料（证书、证明、论文等）复印件。</w:t>
      </w:r>
    </w:p>
    <w:p>
      <w:pPr>
        <w:keepNext w:val="0"/>
        <w:keepLines w:val="0"/>
        <w:widowControl/>
        <w:suppressLineNumbers w:val="0"/>
        <w:jc w:val="left"/>
        <w:rPr>
          <w:rFonts w:hint="eastAsia" w:ascii="仿宋" w:hAnsi="仿宋" w:eastAsia="仿宋" w:cs="仿宋"/>
          <w:color w:val="auto"/>
          <w:kern w:val="0"/>
          <w:sz w:val="21"/>
          <w:szCs w:val="21"/>
          <w:lang w:val="en-US" w:eastAsia="zh-CN" w:bidi="ar"/>
        </w:rPr>
      </w:pPr>
    </w:p>
    <w:p>
      <w:pPr>
        <w:keepNext w:val="0"/>
        <w:keepLines w:val="0"/>
        <w:widowControl/>
        <w:suppressLineNumbers w:val="0"/>
        <w:jc w:val="left"/>
        <w:rPr>
          <w:rFonts w:hint="eastAsia" w:ascii="仿宋" w:hAnsi="仿宋" w:eastAsia="仿宋" w:cs="仿宋"/>
          <w:color w:val="auto"/>
          <w:kern w:val="0"/>
          <w:sz w:val="21"/>
          <w:szCs w:val="21"/>
          <w:lang w:val="en-US" w:eastAsia="zh-CN" w:bidi="ar"/>
        </w:rPr>
      </w:pPr>
    </w:p>
    <w:p>
      <w:pPr>
        <w:keepNext w:val="0"/>
        <w:keepLines w:val="0"/>
        <w:widowControl/>
        <w:suppressLineNumbers w:val="0"/>
        <w:jc w:val="left"/>
        <w:rPr>
          <w:rFonts w:hint="default" w:ascii="仿宋" w:hAnsi="仿宋" w:eastAsia="仿宋" w:cs="仿宋"/>
          <w:color w:val="auto"/>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3692E"/>
    <w:rsid w:val="52323933"/>
    <w:rsid w:val="5A5E3996"/>
    <w:rsid w:val="6BA7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15" w:lineRule="atLeast"/>
      <w:ind w:left="0" w:right="0"/>
      <w:jc w:val="left"/>
    </w:pPr>
    <w:rPr>
      <w:rFonts w:hint="eastAsia" w:ascii="宋体" w:hAnsi="宋体" w:eastAsia="宋体" w:cs="宋体"/>
      <w:color w:val="333333"/>
      <w:kern w:val="0"/>
      <w:sz w:val="18"/>
      <w:szCs w:val="18"/>
      <w:lang w:val="en-US" w:eastAsia="zh-CN" w:bidi="ar"/>
    </w:rPr>
  </w:style>
  <w:style w:type="character" w:styleId="5">
    <w:name w:val="FollowedHyperlink"/>
    <w:basedOn w:val="4"/>
    <w:uiPriority w:val="0"/>
    <w:rPr>
      <w:color w:val="3C3C3C"/>
      <w:u w:val="none"/>
    </w:rPr>
  </w:style>
  <w:style w:type="character" w:styleId="6">
    <w:name w:val="Hyperlink"/>
    <w:basedOn w:val="4"/>
    <w:qFormat/>
    <w:uiPriority w:val="0"/>
    <w:rPr>
      <w:color w:val="414141"/>
      <w:u w:val="none"/>
    </w:rPr>
  </w:style>
  <w:style w:type="character" w:customStyle="1" w:styleId="7">
    <w:name w:val="item-name"/>
    <w:basedOn w:val="4"/>
    <w:uiPriority w:val="0"/>
  </w:style>
  <w:style w:type="character" w:customStyle="1" w:styleId="8">
    <w:name w:val="item-name1"/>
    <w:basedOn w:val="4"/>
    <w:qFormat/>
    <w:uiPriority w:val="0"/>
  </w:style>
  <w:style w:type="character" w:customStyle="1" w:styleId="9">
    <w:name w:val="item-name2"/>
    <w:basedOn w:val="4"/>
    <w:uiPriority w:val="0"/>
    <w:rPr>
      <w:color w:val="FFFFFF"/>
      <w:sz w:val="24"/>
      <w:szCs w:val="24"/>
    </w:rPr>
  </w:style>
  <w:style w:type="character" w:customStyle="1" w:styleId="10">
    <w:name w:val="item-name3"/>
    <w:basedOn w:val="4"/>
    <w:uiPriority w:val="0"/>
  </w:style>
  <w:style w:type="character" w:customStyle="1" w:styleId="11">
    <w:name w:val="item-name4"/>
    <w:basedOn w:val="4"/>
    <w:qFormat/>
    <w:uiPriority w:val="0"/>
  </w:style>
  <w:style w:type="character" w:customStyle="1" w:styleId="12">
    <w:name w:val="column-name"/>
    <w:basedOn w:val="4"/>
    <w:uiPriority w:val="0"/>
    <w:rPr>
      <w:color w:val="333333"/>
      <w:sz w:val="21"/>
      <w:szCs w:val="21"/>
    </w:rPr>
  </w:style>
  <w:style w:type="character" w:customStyle="1" w:styleId="13">
    <w:name w:val="column-name1"/>
    <w:basedOn w:val="4"/>
    <w:qFormat/>
    <w:uiPriority w:val="0"/>
    <w:rPr>
      <w:color w:val="333333"/>
    </w:rPr>
  </w:style>
  <w:style w:type="character" w:customStyle="1" w:styleId="14">
    <w:name w:val="column-name2"/>
    <w:basedOn w:val="4"/>
    <w:uiPriority w:val="0"/>
    <w:rPr>
      <w:color w:val="333333"/>
    </w:rPr>
  </w:style>
  <w:style w:type="character" w:customStyle="1" w:styleId="15">
    <w:name w:val="column-name3"/>
    <w:basedOn w:val="4"/>
    <w:uiPriority w:val="0"/>
    <w:rPr>
      <w:color w:val="333333"/>
    </w:rPr>
  </w:style>
  <w:style w:type="character" w:customStyle="1" w:styleId="16">
    <w:name w:val="news_title"/>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1222</Words>
  <Characters>1252</Characters>
  <Lines>0</Lines>
  <Paragraphs>0</Paragraphs>
  <TotalTime>26</TotalTime>
  <ScaleCrop>false</ScaleCrop>
  <LinksUpToDate>false</LinksUpToDate>
  <CharactersWithSpaces>1483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阿芮</cp:lastModifiedBy>
  <dcterms:modified xsi:type="dcterms:W3CDTF">2022-04-14T09:55:40Z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eyJoZGlkIjoiMWUyMTNkMmJjOWJjMjI5YzgyMmJjNzg4MTgyYTI0M2IifQ==</vt:lpwstr>
  </property>
  <property fmtid="{D5CDD505-2E9C-101B-9397-08002B2CF9AE}" pid="4" name="ICV">
    <vt:lpwstr>DD2BE8FD718C412D8A3EF8C23DF6007C</vt:lpwstr>
  </property>
</Properties>
</file>